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2EA4" w14:textId="77777777" w:rsidR="002D1778" w:rsidRDefault="002D1778" w:rsidP="002D1778">
      <w:pPr>
        <w:jc w:val="center"/>
        <w:rPr>
          <w:b/>
          <w:bCs/>
          <w:sz w:val="40"/>
          <w:szCs w:val="40"/>
          <w:lang w:val="en-US"/>
        </w:rPr>
      </w:pPr>
    </w:p>
    <w:p w14:paraId="11F7007A" w14:textId="77777777" w:rsidR="002D1778" w:rsidRDefault="002D1778" w:rsidP="002D1778">
      <w:pPr>
        <w:jc w:val="center"/>
        <w:rPr>
          <w:b/>
          <w:bCs/>
          <w:sz w:val="40"/>
          <w:szCs w:val="40"/>
          <w:lang w:val="en-US"/>
        </w:rPr>
      </w:pPr>
    </w:p>
    <w:p w14:paraId="03899F33" w14:textId="77777777" w:rsidR="002D1778" w:rsidRDefault="002D1778" w:rsidP="002D1778">
      <w:pPr>
        <w:jc w:val="center"/>
        <w:rPr>
          <w:b/>
          <w:bCs/>
          <w:sz w:val="40"/>
          <w:szCs w:val="40"/>
          <w:lang w:val="en-US"/>
        </w:rPr>
      </w:pPr>
    </w:p>
    <w:p w14:paraId="7AAC731E" w14:textId="77777777" w:rsidR="002D1778" w:rsidRDefault="002D1778" w:rsidP="002D1778">
      <w:pPr>
        <w:jc w:val="center"/>
        <w:rPr>
          <w:b/>
          <w:bCs/>
          <w:sz w:val="40"/>
          <w:szCs w:val="40"/>
          <w:lang w:val="en-US"/>
        </w:rPr>
      </w:pPr>
    </w:p>
    <w:p w14:paraId="17BB71DC" w14:textId="77777777" w:rsidR="002D1778" w:rsidRDefault="002D1778" w:rsidP="002D1778">
      <w:pPr>
        <w:jc w:val="center"/>
        <w:rPr>
          <w:b/>
          <w:bCs/>
          <w:sz w:val="56"/>
          <w:szCs w:val="56"/>
          <w:lang w:val="en-US"/>
        </w:rPr>
      </w:pPr>
    </w:p>
    <w:p w14:paraId="14C51D34" w14:textId="77777777" w:rsidR="002D1778" w:rsidRDefault="002D1778" w:rsidP="002D1778">
      <w:pPr>
        <w:jc w:val="center"/>
        <w:rPr>
          <w:b/>
          <w:bCs/>
          <w:sz w:val="56"/>
          <w:szCs w:val="56"/>
          <w:lang w:val="en-US"/>
        </w:rPr>
      </w:pPr>
    </w:p>
    <w:p w14:paraId="09ED48EE" w14:textId="3A1A3EEB" w:rsidR="003758BD" w:rsidRPr="005716DB" w:rsidRDefault="002D1778" w:rsidP="003758BD">
      <w:pPr>
        <w:rPr>
          <w:rFonts w:ascii="Arial" w:hAnsi="Arial" w:cs="Arial"/>
          <w:b/>
          <w:bCs/>
          <w:color w:val="283A96"/>
          <w:sz w:val="96"/>
          <w:szCs w:val="96"/>
          <w:lang w:val="en-US"/>
        </w:rPr>
      </w:pPr>
      <w:r w:rsidRPr="002D1778">
        <w:rPr>
          <w:rFonts w:ascii="Arial" w:hAnsi="Arial" w:cs="Arial"/>
          <w:b/>
          <w:bCs/>
          <w:color w:val="283A96"/>
          <w:sz w:val="96"/>
          <w:szCs w:val="96"/>
          <w:lang w:val="en-US"/>
        </w:rPr>
        <w:t xml:space="preserve">Winter </w:t>
      </w:r>
      <w:r w:rsidR="005716DB">
        <w:rPr>
          <w:rFonts w:ascii="Arial" w:hAnsi="Arial" w:cs="Arial"/>
          <w:b/>
          <w:bCs/>
          <w:color w:val="283A96"/>
          <w:sz w:val="96"/>
          <w:szCs w:val="96"/>
          <w:lang w:val="en-US"/>
        </w:rPr>
        <w:t>Pressures</w:t>
      </w:r>
    </w:p>
    <w:p w14:paraId="5C8188C9" w14:textId="4B7AFACE" w:rsidR="003758BD" w:rsidRPr="001D0BAD" w:rsidRDefault="003758BD" w:rsidP="003758BD">
      <w:pPr>
        <w:rPr>
          <w:rFonts w:ascii="Arial" w:hAnsi="Arial" w:cs="Arial"/>
          <w:color w:val="283A96"/>
          <w:sz w:val="52"/>
          <w:szCs w:val="52"/>
          <w:lang w:val="en-US"/>
        </w:rPr>
      </w:pPr>
    </w:p>
    <w:p w14:paraId="1A6173CC" w14:textId="77777777" w:rsidR="003758BD" w:rsidRPr="0079554A" w:rsidRDefault="003758BD" w:rsidP="003758BD">
      <w:pPr>
        <w:rPr>
          <w:rFonts w:ascii="Arial" w:hAnsi="Arial" w:cs="Arial"/>
          <w:b/>
          <w:bCs/>
          <w:color w:val="283A96"/>
          <w:sz w:val="56"/>
          <w:szCs w:val="56"/>
          <w:lang w:val="en-US"/>
        </w:rPr>
      </w:pPr>
    </w:p>
    <w:p w14:paraId="206B333E" w14:textId="77777777" w:rsidR="005716DB" w:rsidRDefault="7DF77499" w:rsidP="003758BD">
      <w:pPr>
        <w:rPr>
          <w:rFonts w:ascii="Arial" w:hAnsi="Arial" w:cs="Arial"/>
          <w:color w:val="283A96"/>
          <w:sz w:val="56"/>
          <w:szCs w:val="56"/>
          <w:lang w:val="en-US"/>
        </w:rPr>
      </w:pPr>
      <w:r w:rsidRPr="002D1778">
        <w:rPr>
          <w:rFonts w:ascii="Arial" w:hAnsi="Arial" w:cs="Arial"/>
          <w:color w:val="283A96"/>
          <w:sz w:val="56"/>
          <w:szCs w:val="56"/>
          <w:lang w:val="en-US"/>
        </w:rPr>
        <w:t>Communications Toolkit</w:t>
      </w:r>
      <w:r w:rsidR="004A2BA8">
        <w:rPr>
          <w:rFonts w:ascii="Arial" w:hAnsi="Arial" w:cs="Arial"/>
          <w:color w:val="283A96"/>
          <w:sz w:val="56"/>
          <w:szCs w:val="56"/>
          <w:lang w:val="en-US"/>
        </w:rPr>
        <w:t xml:space="preserve"> </w:t>
      </w:r>
    </w:p>
    <w:p w14:paraId="15078C46" w14:textId="1F2063A5" w:rsidR="003758BD" w:rsidRPr="0079554A" w:rsidRDefault="005716DB" w:rsidP="003758BD">
      <w:pPr>
        <w:rPr>
          <w:rFonts w:ascii="Arial" w:hAnsi="Arial" w:cs="Arial"/>
          <w:color w:val="283A96"/>
          <w:sz w:val="56"/>
          <w:szCs w:val="56"/>
          <w:lang w:val="en-US"/>
        </w:rPr>
      </w:pPr>
      <w:r>
        <w:rPr>
          <w:rFonts w:ascii="Arial" w:hAnsi="Arial" w:cs="Arial"/>
          <w:color w:val="283A96"/>
          <w:sz w:val="56"/>
          <w:szCs w:val="56"/>
          <w:lang w:val="en-US"/>
        </w:rPr>
        <w:t xml:space="preserve">w/c 26 December &amp; w/c 2 January </w:t>
      </w:r>
    </w:p>
    <w:p w14:paraId="2C335550" w14:textId="123C680D" w:rsidR="003758BD" w:rsidRDefault="005716DB">
      <w:pPr>
        <w:rPr>
          <w:b/>
          <w:bCs/>
          <w:color w:val="283A96"/>
          <w:sz w:val="56"/>
          <w:szCs w:val="56"/>
          <w:lang w:val="en-US"/>
        </w:rPr>
      </w:pPr>
      <w:r w:rsidRPr="0079554A">
        <w:rPr>
          <w:rFonts w:ascii="Arial" w:hAnsi="Arial" w:cs="Arial"/>
          <w:noProof/>
          <w:color w:val="283A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D119" wp14:editId="47F8CF12">
                <wp:simplePos x="0" y="0"/>
                <wp:positionH relativeFrom="margin">
                  <wp:posOffset>-23854</wp:posOffset>
                </wp:positionH>
                <wp:positionV relativeFrom="paragraph">
                  <wp:posOffset>286744</wp:posOffset>
                </wp:positionV>
                <wp:extent cx="4953662" cy="2242267"/>
                <wp:effectExtent l="0" t="0" r="0" b="0"/>
                <wp:wrapNone/>
                <wp:docPr id="6" name="Tex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0F31D9-7072-0A7B-AB73-033C8C245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3662" cy="2242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AA5DF" w14:textId="77777777" w:rsidR="005716DB" w:rsidRDefault="005716DB" w:rsidP="002D1778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044774A" w14:textId="77777777" w:rsidR="005716DB" w:rsidRDefault="005716DB" w:rsidP="002D1778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7BE9B32" w14:textId="548A1495" w:rsidR="002D1778" w:rsidRDefault="002D1778" w:rsidP="002D1778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  <w:t xml:space="preserve">This toolkit is designed to </w:t>
                            </w:r>
                            <w:r w:rsidR="004E70A9"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  <w:t xml:space="preserve">support BSW wide communications in the dissemination of consistent key messages and assets across </w:t>
                            </w:r>
                            <w:proofErr w:type="gramStart"/>
                            <w:r w:rsidR="004E70A9"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  <w:t>all of</w:t>
                            </w:r>
                            <w:proofErr w:type="gramEnd"/>
                            <w:r w:rsidR="004E70A9"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  <w:t xml:space="preserve"> our shared audiences to maximise our reach and engagement with our target audiences. </w:t>
                            </w:r>
                            <w:r>
                              <w:rPr>
                                <w:rFonts w:ascii="Arial" w:hAnsi="Arial" w:cs="Arial"/>
                                <w:color w:val="343433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6D119" id="Text Placeholder 5" o:spid="_x0000_s1026" style="position:absolute;margin-left:-1.9pt;margin-top:22.6pt;width:390.05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" filled="f" stroked="f">
                <o:lock v:ext="edit" grouping="t"/>
                <v:textbox>
                  <w:txbxContent>
                    <w:p w14:paraId="150AA5DF" w14:textId="77777777" w:rsidR="005716DB" w:rsidRDefault="005716DB" w:rsidP="002D1778">
                      <w:pPr>
                        <w:spacing w:before="200" w:line="216" w:lineRule="auto"/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</w:pPr>
                    </w:p>
                    <w:p w14:paraId="5044774A" w14:textId="77777777" w:rsidR="005716DB" w:rsidRDefault="005716DB" w:rsidP="002D1778">
                      <w:pPr>
                        <w:spacing w:before="200" w:line="216" w:lineRule="auto"/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</w:pPr>
                    </w:p>
                    <w:p w14:paraId="67BE9B32" w14:textId="548A1495" w:rsidR="002D1778" w:rsidRDefault="002D1778" w:rsidP="002D1778">
                      <w:pPr>
                        <w:spacing w:before="200" w:line="216" w:lineRule="auto"/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  <w:t xml:space="preserve">This toolkit is designed to </w:t>
                      </w:r>
                      <w:r w:rsidR="004E70A9"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  <w:t xml:space="preserve">support BSW wide communications in the dissemination of consistent key messages and assets across </w:t>
                      </w:r>
                      <w:proofErr w:type="gramStart"/>
                      <w:r w:rsidR="004E70A9"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  <w:t>all of</w:t>
                      </w:r>
                      <w:proofErr w:type="gramEnd"/>
                      <w:r w:rsidR="004E70A9"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  <w:t xml:space="preserve"> our shared audiences to maximise our reach and engagement with our target audiences. </w:t>
                      </w:r>
                      <w:r>
                        <w:rPr>
                          <w:rFonts w:ascii="Arial" w:hAnsi="Arial" w:cs="Arial"/>
                          <w:color w:val="343433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58BD">
        <w:rPr>
          <w:b/>
          <w:bCs/>
          <w:color w:val="283A96"/>
          <w:sz w:val="56"/>
          <w:szCs w:val="56"/>
          <w:lang w:val="en-US"/>
        </w:rPr>
        <w:br w:type="page"/>
      </w:r>
    </w:p>
    <w:p w14:paraId="596077FD" w14:textId="77777777" w:rsidR="0079554A" w:rsidRDefault="0079554A" w:rsidP="0025287C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5A513064" w14:textId="5227BBE7" w:rsidR="0025287C" w:rsidRPr="0079554A" w:rsidRDefault="0025287C" w:rsidP="0025287C">
      <w:pPr>
        <w:rPr>
          <w:rFonts w:ascii="Arial" w:hAnsi="Arial" w:cs="Arial"/>
          <w:color w:val="283A96"/>
          <w:sz w:val="96"/>
          <w:szCs w:val="96"/>
          <w:lang w:val="en-US"/>
        </w:rPr>
      </w:pPr>
      <w:r w:rsidRPr="0079554A">
        <w:rPr>
          <w:rFonts w:ascii="Arial" w:hAnsi="Arial" w:cs="Arial"/>
          <w:color w:val="283A96"/>
          <w:sz w:val="56"/>
          <w:szCs w:val="56"/>
          <w:lang w:val="en-US"/>
        </w:rPr>
        <w:t>C</w:t>
      </w:r>
      <w:r w:rsidR="0079554A" w:rsidRPr="0079554A">
        <w:rPr>
          <w:rFonts w:ascii="Arial" w:hAnsi="Arial" w:cs="Arial"/>
          <w:color w:val="283A96"/>
          <w:sz w:val="56"/>
          <w:szCs w:val="56"/>
          <w:lang w:val="en-US"/>
        </w:rPr>
        <w:t>ONTENTS</w:t>
      </w:r>
    </w:p>
    <w:p w14:paraId="2782F97A" w14:textId="77777777" w:rsidR="0025287C" w:rsidRPr="0079554A" w:rsidRDefault="0025287C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11073CEC" w14:textId="436056F8" w:rsidR="00B716C9" w:rsidRPr="00B716C9" w:rsidRDefault="005E14BB" w:rsidP="00B716C9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A</w:t>
      </w:r>
      <w:r w:rsidR="00B716C9" w:rsidRPr="00B716C9">
        <w:rPr>
          <w:rFonts w:ascii="Arial" w:hAnsi="Arial" w:cs="Arial"/>
          <w:sz w:val="32"/>
          <w:szCs w:val="32"/>
          <w:lang w:val="en-US"/>
        </w:rPr>
        <w:t>ims</w:t>
      </w:r>
    </w:p>
    <w:p w14:paraId="1B5821B9" w14:textId="77777777" w:rsidR="00B716C9" w:rsidRPr="00B716C9" w:rsidRDefault="00B716C9" w:rsidP="00B716C9">
      <w:pPr>
        <w:ind w:left="720"/>
        <w:rPr>
          <w:rFonts w:ascii="Arial" w:hAnsi="Arial" w:cs="Arial"/>
          <w:sz w:val="32"/>
          <w:szCs w:val="32"/>
        </w:rPr>
      </w:pPr>
    </w:p>
    <w:p w14:paraId="1986A138" w14:textId="61F53EEF" w:rsidR="00B716C9" w:rsidRPr="009E6640" w:rsidRDefault="005E14BB" w:rsidP="009E6640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T</w:t>
      </w:r>
      <w:r w:rsidR="00B716C9" w:rsidRPr="00B716C9">
        <w:rPr>
          <w:rFonts w:ascii="Arial" w:hAnsi="Arial" w:cs="Arial"/>
          <w:sz w:val="32"/>
          <w:szCs w:val="32"/>
          <w:lang w:val="en-US"/>
        </w:rPr>
        <w:t>imings</w:t>
      </w:r>
    </w:p>
    <w:p w14:paraId="4AEAC673" w14:textId="77777777" w:rsidR="00B716C9" w:rsidRPr="00B716C9" w:rsidRDefault="00B716C9" w:rsidP="00B716C9">
      <w:pPr>
        <w:ind w:left="720"/>
        <w:rPr>
          <w:rFonts w:ascii="Arial" w:hAnsi="Arial" w:cs="Arial"/>
          <w:sz w:val="32"/>
          <w:szCs w:val="32"/>
        </w:rPr>
      </w:pPr>
    </w:p>
    <w:p w14:paraId="41F9B4A2" w14:textId="573F1843" w:rsidR="00A2054E" w:rsidRPr="00DD6025" w:rsidRDefault="00DD6025" w:rsidP="0025287C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Assets</w:t>
      </w:r>
    </w:p>
    <w:p w14:paraId="6BCF5D8F" w14:textId="0D4527B8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31117F8F" w14:textId="07574FE5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3BA0A77C" w14:textId="1D4608BB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22C9A8C1" w14:textId="2D5BBE25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339A569A" w14:textId="42F91E86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6A14C694" w14:textId="3A131C0B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0A27AAA4" w14:textId="2ECA047C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171AD7A6" w14:textId="7BCFC388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6C8D3C81" w14:textId="015703B3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02358D9F" w14:textId="5B86CAF4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5D24CED6" w14:textId="681FD150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27ADE7A5" w14:textId="559C68E6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6C713617" w14:textId="4E34F7D5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61147A5F" w14:textId="69A7801A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59EA4D5F" w14:textId="0CA70CE2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7FA5E5A2" w14:textId="1A676626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0BC681AC" w14:textId="596949FF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3748A36A" w14:textId="78B1E2EF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5B5BEB53" w14:textId="705FBCC5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23D9C7CE" w14:textId="74D2F596" w:rsidR="00A2054E" w:rsidRDefault="00A2054E" w:rsidP="0025287C">
      <w:pPr>
        <w:rPr>
          <w:rFonts w:ascii="Arial" w:hAnsi="Arial" w:cs="Arial"/>
          <w:color w:val="283A96"/>
          <w:sz w:val="32"/>
          <w:szCs w:val="32"/>
          <w:lang w:val="en-US"/>
        </w:rPr>
      </w:pPr>
    </w:p>
    <w:p w14:paraId="2E1D14EB" w14:textId="2A92AA31" w:rsidR="00724A5C" w:rsidRDefault="00724A5C" w:rsidP="0079554A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5797EA33" w14:textId="7A007C8B" w:rsidR="00DD6025" w:rsidRDefault="00DD6025" w:rsidP="0079554A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7FB6CE6A" w14:textId="77777777" w:rsidR="00DD6025" w:rsidRDefault="00DD6025" w:rsidP="0079554A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4A512BA6" w14:textId="5E966A86" w:rsidR="00B05C86" w:rsidRDefault="00B05C86" w:rsidP="0079554A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4B8175FD" w14:textId="77777777" w:rsidR="009E6640" w:rsidRDefault="009E6640" w:rsidP="0079554A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3697158E" w14:textId="0C0923AC" w:rsidR="0079554A" w:rsidRPr="0079554A" w:rsidRDefault="0079554A" w:rsidP="0079554A">
      <w:pPr>
        <w:rPr>
          <w:rFonts w:ascii="Arial" w:hAnsi="Arial" w:cs="Arial"/>
          <w:color w:val="283A96"/>
          <w:sz w:val="44"/>
          <w:szCs w:val="44"/>
          <w:lang w:val="en-US"/>
        </w:rPr>
      </w:pPr>
      <w:r w:rsidRPr="00C25CB1">
        <w:rPr>
          <w:rFonts w:ascii="Arial" w:hAnsi="Arial" w:cs="Arial"/>
          <w:color w:val="283A96"/>
          <w:sz w:val="56"/>
          <w:szCs w:val="56"/>
          <w:lang w:val="en-US"/>
        </w:rPr>
        <w:lastRenderedPageBreak/>
        <w:t>AIMS</w:t>
      </w:r>
      <w:r>
        <w:rPr>
          <w:rFonts w:ascii="Arial" w:hAnsi="Arial" w:cs="Arial"/>
          <w:color w:val="283A96"/>
          <w:sz w:val="44"/>
          <w:szCs w:val="44"/>
          <w:lang w:val="en-US"/>
        </w:rPr>
        <w:t xml:space="preserve"> </w:t>
      </w:r>
    </w:p>
    <w:p w14:paraId="4D35208C" w14:textId="11D0C913" w:rsidR="0079554A" w:rsidRDefault="0079554A" w:rsidP="0079554A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4C6818EE" w14:textId="49902A79" w:rsidR="005E14BB" w:rsidRDefault="005E14BB" w:rsidP="005E14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 the system faces increasing pressure across </w:t>
      </w:r>
      <w:proofErr w:type="gramStart"/>
      <w:r>
        <w:rPr>
          <w:rFonts w:ascii="Arial" w:hAnsi="Arial" w:cs="Arial"/>
          <w:sz w:val="32"/>
          <w:szCs w:val="32"/>
        </w:rPr>
        <w:t>all of</w:t>
      </w:r>
      <w:proofErr w:type="gramEnd"/>
      <w:r>
        <w:rPr>
          <w:rFonts w:ascii="Arial" w:hAnsi="Arial" w:cs="Arial"/>
          <w:sz w:val="32"/>
          <w:szCs w:val="32"/>
        </w:rPr>
        <w:t xml:space="preserve"> its services this toolkit aims to provide clarity on the priority messages for the festive period and support with a consistent approach to communications across all system partners. </w:t>
      </w:r>
    </w:p>
    <w:p w14:paraId="3ABA333B" w14:textId="382A5815" w:rsidR="005E14BB" w:rsidRDefault="005E14BB" w:rsidP="005E14BB">
      <w:pPr>
        <w:rPr>
          <w:rFonts w:ascii="Arial" w:hAnsi="Arial" w:cs="Arial"/>
          <w:sz w:val="32"/>
          <w:szCs w:val="32"/>
        </w:rPr>
      </w:pPr>
    </w:p>
    <w:p w14:paraId="01F76070" w14:textId="071B1033" w:rsidR="00C16593" w:rsidRPr="009E6640" w:rsidRDefault="005E14BB" w:rsidP="009E6640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Priority communications aims are: </w:t>
      </w:r>
      <w:r w:rsidR="0079554A" w:rsidRPr="0079554A">
        <w:rPr>
          <w:rFonts w:ascii="Arial" w:hAnsi="Arial" w:cs="Arial"/>
          <w:sz w:val="32"/>
          <w:szCs w:val="32"/>
        </w:rPr>
        <w:t xml:space="preserve">To </w:t>
      </w:r>
      <w:r w:rsidR="00C16593">
        <w:rPr>
          <w:rFonts w:ascii="Arial" w:hAnsi="Arial" w:cs="Arial"/>
          <w:sz w:val="32"/>
          <w:szCs w:val="32"/>
        </w:rPr>
        <w:t>help alleviate pressures specifically across</w:t>
      </w:r>
      <w:r w:rsidR="005716DB">
        <w:rPr>
          <w:rFonts w:ascii="Arial" w:hAnsi="Arial" w:cs="Arial"/>
          <w:sz w:val="32"/>
          <w:szCs w:val="32"/>
        </w:rPr>
        <w:t xml:space="preserve"> </w:t>
      </w:r>
      <w:r w:rsidR="005716DB" w:rsidRPr="000D0436">
        <w:rPr>
          <w:rFonts w:ascii="Arial" w:hAnsi="Arial" w:cs="Arial"/>
          <w:b/>
          <w:bCs/>
          <w:sz w:val="32"/>
          <w:szCs w:val="32"/>
          <w:u w:val="single"/>
        </w:rPr>
        <w:t>all</w:t>
      </w:r>
      <w:r w:rsidR="005716DB">
        <w:rPr>
          <w:rFonts w:ascii="Arial" w:hAnsi="Arial" w:cs="Arial"/>
          <w:sz w:val="32"/>
          <w:szCs w:val="32"/>
        </w:rPr>
        <w:t xml:space="preserve"> services</w:t>
      </w:r>
    </w:p>
    <w:p w14:paraId="01E7A311" w14:textId="77777777" w:rsidR="00620244" w:rsidRDefault="00620244" w:rsidP="00620244">
      <w:pPr>
        <w:ind w:left="720"/>
        <w:rPr>
          <w:rFonts w:ascii="Arial" w:hAnsi="Arial" w:cs="Arial"/>
          <w:sz w:val="32"/>
          <w:szCs w:val="32"/>
        </w:rPr>
      </w:pPr>
    </w:p>
    <w:p w14:paraId="197DEA61" w14:textId="784540DD" w:rsidR="00620244" w:rsidRDefault="00C16593" w:rsidP="00620244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Educat</w:t>
      </w:r>
      <w:r w:rsidR="005E14BB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the public on using local health and care services appropriately (</w:t>
      </w:r>
      <w:r w:rsidR="005E14BB">
        <w:rPr>
          <w:rFonts w:ascii="Arial" w:hAnsi="Arial" w:cs="Arial"/>
          <w:sz w:val="32"/>
          <w:szCs w:val="32"/>
        </w:rPr>
        <w:t>including self-care, pharmacy, 111 online, call 111, WIC (where applicable, MIU, UTC, A+E, 999</w:t>
      </w:r>
      <w:r>
        <w:rPr>
          <w:rFonts w:ascii="Arial" w:hAnsi="Arial" w:cs="Arial"/>
          <w:sz w:val="32"/>
          <w:szCs w:val="32"/>
        </w:rPr>
        <w:t>)</w:t>
      </w:r>
    </w:p>
    <w:p w14:paraId="076B8CA3" w14:textId="77777777" w:rsidR="005E14BB" w:rsidRDefault="005E14BB" w:rsidP="000D0436">
      <w:pPr>
        <w:pStyle w:val="ListParagraph"/>
        <w:rPr>
          <w:rFonts w:ascii="Arial" w:hAnsi="Arial" w:cs="Arial"/>
          <w:sz w:val="32"/>
          <w:szCs w:val="32"/>
        </w:rPr>
      </w:pPr>
    </w:p>
    <w:p w14:paraId="54421D51" w14:textId="0FF12D41" w:rsidR="005E14BB" w:rsidRDefault="005E14BB" w:rsidP="00620244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Ensure a balanced approach to communications across each of these service</w:t>
      </w:r>
      <w:r w:rsidR="00F94BFD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, notably moving away from a 111 only push. </w:t>
      </w:r>
    </w:p>
    <w:p w14:paraId="06E7A8CD" w14:textId="77777777" w:rsidR="005E14BB" w:rsidRDefault="005E14BB" w:rsidP="000D0436">
      <w:pPr>
        <w:pStyle w:val="ListParagraph"/>
        <w:rPr>
          <w:rFonts w:ascii="Arial" w:hAnsi="Arial" w:cs="Arial"/>
          <w:sz w:val="32"/>
          <w:szCs w:val="32"/>
        </w:rPr>
      </w:pPr>
    </w:p>
    <w:p w14:paraId="2AE3F982" w14:textId="4E0069FA" w:rsidR="005E14BB" w:rsidRDefault="005E14BB" w:rsidP="00620244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Position language around 111 to emphasis its online service </w:t>
      </w:r>
      <w:proofErr w:type="gramStart"/>
      <w:r>
        <w:rPr>
          <w:rFonts w:ascii="Arial" w:hAnsi="Arial" w:cs="Arial"/>
          <w:sz w:val="32"/>
          <w:szCs w:val="32"/>
        </w:rPr>
        <w:t>e.g.</w:t>
      </w:r>
      <w:proofErr w:type="gramEnd"/>
      <w:r>
        <w:rPr>
          <w:rFonts w:ascii="Arial" w:hAnsi="Arial" w:cs="Arial"/>
          <w:sz w:val="32"/>
          <w:szCs w:val="32"/>
        </w:rPr>
        <w:t xml:space="preserve"> leading with the online option and using “</w:t>
      </w:r>
      <w:r w:rsidRPr="000D0436">
        <w:t>www</w:t>
      </w:r>
      <w:r>
        <w:rPr>
          <w:rFonts w:ascii="Arial" w:hAnsi="Arial" w:cs="Arial"/>
          <w:sz w:val="32"/>
          <w:szCs w:val="32"/>
        </w:rPr>
        <w:t xml:space="preserve">” to demonstrate that it is online. Where we lead with 111, default thinking is that it is call which we need to move away from. </w:t>
      </w:r>
    </w:p>
    <w:p w14:paraId="0E9559C4" w14:textId="77777777" w:rsidR="00620244" w:rsidRDefault="00620244" w:rsidP="00620244">
      <w:pPr>
        <w:pStyle w:val="ListParagraph"/>
        <w:rPr>
          <w:rFonts w:ascii="Arial" w:hAnsi="Arial" w:cs="Arial"/>
          <w:sz w:val="32"/>
          <w:szCs w:val="32"/>
        </w:rPr>
      </w:pPr>
    </w:p>
    <w:p w14:paraId="0BA7A7B0" w14:textId="0C7293DA" w:rsidR="005716DB" w:rsidRPr="00620244" w:rsidRDefault="009E6640" w:rsidP="00620244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20244">
        <w:rPr>
          <w:rFonts w:ascii="Arial" w:hAnsi="Arial" w:cs="Arial"/>
          <w:sz w:val="32"/>
          <w:szCs w:val="32"/>
        </w:rPr>
        <w:t>Educate around childhood winter illnesses - what they are, how to identify them and what to do</w:t>
      </w:r>
      <w:r w:rsidR="005E14BB">
        <w:rPr>
          <w:rFonts w:ascii="Arial" w:hAnsi="Arial" w:cs="Arial"/>
          <w:sz w:val="32"/>
          <w:szCs w:val="32"/>
        </w:rPr>
        <w:t xml:space="preserve">. </w:t>
      </w:r>
      <w:proofErr w:type="gramStart"/>
      <w:r w:rsidR="005E14BB">
        <w:rPr>
          <w:rFonts w:ascii="Arial" w:hAnsi="Arial" w:cs="Arial"/>
          <w:sz w:val="32"/>
          <w:szCs w:val="32"/>
        </w:rPr>
        <w:t>Also</w:t>
      </w:r>
      <w:proofErr w:type="gramEnd"/>
      <w:r w:rsidR="005E14BB">
        <w:rPr>
          <w:rFonts w:ascii="Arial" w:hAnsi="Arial" w:cs="Arial"/>
          <w:sz w:val="32"/>
          <w:szCs w:val="32"/>
        </w:rPr>
        <w:t xml:space="preserve"> action on how to prevent childhood illness (wash hands, immunise etc). </w:t>
      </w:r>
    </w:p>
    <w:p w14:paraId="57243816" w14:textId="77777777" w:rsidR="00620244" w:rsidRDefault="00620244" w:rsidP="00620244">
      <w:pPr>
        <w:pStyle w:val="ListParagraph"/>
        <w:rPr>
          <w:rFonts w:ascii="Arial" w:hAnsi="Arial" w:cs="Arial"/>
          <w:sz w:val="32"/>
          <w:szCs w:val="32"/>
        </w:rPr>
      </w:pPr>
    </w:p>
    <w:p w14:paraId="12892F33" w14:textId="4F3528BA" w:rsidR="005E14BB" w:rsidRDefault="005E14BB" w:rsidP="00620244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Highlighting the appropriate handling of specific ailments that trigger inappropriate demand to 111 (dental, sore throat, last minute prescription requests)</w:t>
      </w:r>
    </w:p>
    <w:p w14:paraId="4568453B" w14:textId="35B60AF1" w:rsidR="005E14BB" w:rsidRDefault="005E14BB" w:rsidP="00783B7E">
      <w:pPr>
        <w:rPr>
          <w:rFonts w:ascii="Arial" w:hAnsi="Arial" w:cs="Arial"/>
          <w:sz w:val="32"/>
          <w:szCs w:val="32"/>
        </w:rPr>
      </w:pPr>
    </w:p>
    <w:p w14:paraId="67D524AC" w14:textId="714E4115" w:rsidR="00783B7E" w:rsidRDefault="00783B7E" w:rsidP="00783B7E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Highlighting the appropriate handling of specific ailments that trigger inappropriate demand to other services (note this strand is in progress whilst we await intel. </w:t>
      </w:r>
    </w:p>
    <w:p w14:paraId="23CE986B" w14:textId="77777777" w:rsidR="00783B7E" w:rsidRPr="000D0436" w:rsidRDefault="00783B7E" w:rsidP="000D0436">
      <w:pPr>
        <w:rPr>
          <w:rFonts w:ascii="Arial" w:hAnsi="Arial" w:cs="Arial"/>
          <w:sz w:val="32"/>
          <w:szCs w:val="32"/>
        </w:rPr>
      </w:pPr>
    </w:p>
    <w:p w14:paraId="353D3C08" w14:textId="28C1102C" w:rsidR="00620244" w:rsidRDefault="00620244" w:rsidP="00620244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Raise awareness of the </w:t>
      </w:r>
      <w:r w:rsidR="005E14BB">
        <w:rPr>
          <w:rFonts w:ascii="Arial" w:hAnsi="Arial" w:cs="Arial"/>
          <w:sz w:val="32"/>
          <w:szCs w:val="32"/>
        </w:rPr>
        <w:t>role</w:t>
      </w:r>
      <w:r>
        <w:rPr>
          <w:rFonts w:ascii="Arial" w:hAnsi="Arial" w:cs="Arial"/>
          <w:sz w:val="32"/>
          <w:szCs w:val="32"/>
        </w:rPr>
        <w:t xml:space="preserve"> of pharmacies and the support they can offer, including:</w:t>
      </w:r>
    </w:p>
    <w:p w14:paraId="4591227F" w14:textId="77777777" w:rsidR="00131766" w:rsidRDefault="00131766" w:rsidP="00131766">
      <w:pPr>
        <w:pStyle w:val="ListParagraph"/>
        <w:rPr>
          <w:rFonts w:ascii="Arial" w:hAnsi="Arial" w:cs="Arial"/>
          <w:sz w:val="32"/>
          <w:szCs w:val="32"/>
        </w:rPr>
      </w:pPr>
    </w:p>
    <w:p w14:paraId="177A350A" w14:textId="4A76C3B2" w:rsidR="00620244" w:rsidRPr="00620244" w:rsidRDefault="005E14BB" w:rsidP="00620244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 xml:space="preserve">Ability of some pharmacies to prescribe for some ailments </w:t>
      </w:r>
    </w:p>
    <w:p w14:paraId="090A651B" w14:textId="353D5E41" w:rsidR="00620244" w:rsidRPr="00620244" w:rsidRDefault="005E14BB" w:rsidP="00620244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Festive period opening times: </w:t>
      </w:r>
      <w:proofErr w:type="gramStart"/>
      <w:r w:rsidR="00620244" w:rsidRPr="00620244">
        <w:rPr>
          <w:rFonts w:ascii="Arial" w:hAnsi="Arial" w:cs="Arial"/>
          <w:sz w:val="32"/>
          <w:szCs w:val="32"/>
          <w:shd w:val="clear" w:color="auto" w:fill="FFFFFF"/>
        </w:rPr>
        <w:t>A number of</w:t>
      </w:r>
      <w:proofErr w:type="gramEnd"/>
      <w:r w:rsidR="00620244" w:rsidRPr="00620244">
        <w:rPr>
          <w:rFonts w:ascii="Arial" w:hAnsi="Arial" w:cs="Arial"/>
          <w:sz w:val="32"/>
          <w:szCs w:val="32"/>
          <w:shd w:val="clear" w:color="auto" w:fill="FFFFFF"/>
        </w:rPr>
        <w:t xml:space="preserve"> pharmacies will be open to people in need of an emergency prescription, help with a minor condition or general healthcare advice on Christmas Day, Boxing Day and New Year’s Day, as well as on the substitute bank holidays on Tuesday 27 December and Monday 2 January</w:t>
      </w:r>
    </w:p>
    <w:p w14:paraId="37CED14C" w14:textId="7CF23C74" w:rsidR="00620244" w:rsidRDefault="00620244" w:rsidP="00620244">
      <w:pPr>
        <w:rPr>
          <w:rFonts w:ascii="Arial" w:hAnsi="Arial" w:cs="Arial"/>
          <w:sz w:val="32"/>
          <w:szCs w:val="32"/>
        </w:rPr>
      </w:pPr>
    </w:p>
    <w:p w14:paraId="56A2DFA7" w14:textId="3B97C135" w:rsidR="000D0436" w:rsidRDefault="00620244" w:rsidP="000D0436">
      <w:pPr>
        <w:pStyle w:val="NoSpacing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0D0436">
        <w:rPr>
          <w:rFonts w:ascii="Arial" w:hAnsi="Arial" w:cs="Arial"/>
          <w:sz w:val="32"/>
          <w:szCs w:val="32"/>
        </w:rPr>
        <w:t xml:space="preserve">Encouraging families to get loved </w:t>
      </w:r>
      <w:proofErr w:type="gramStart"/>
      <w:r w:rsidRPr="000D0436">
        <w:rPr>
          <w:rFonts w:ascii="Arial" w:hAnsi="Arial" w:cs="Arial"/>
          <w:sz w:val="32"/>
          <w:szCs w:val="32"/>
        </w:rPr>
        <w:t>ones</w:t>
      </w:r>
      <w:proofErr w:type="gramEnd"/>
      <w:r w:rsidRPr="000D0436">
        <w:rPr>
          <w:rFonts w:ascii="Arial" w:hAnsi="Arial" w:cs="Arial"/>
          <w:sz w:val="32"/>
          <w:szCs w:val="32"/>
        </w:rPr>
        <w:t xml:space="preserve"> home from hospital for Christmas</w:t>
      </w:r>
      <w:r w:rsidR="000D0436">
        <w:rPr>
          <w:rFonts w:ascii="Arial" w:hAnsi="Arial" w:cs="Arial"/>
          <w:sz w:val="32"/>
          <w:szCs w:val="32"/>
        </w:rPr>
        <w:t xml:space="preserve"> as</w:t>
      </w:r>
      <w:r w:rsidR="000D0436" w:rsidRPr="000D0436">
        <w:rPr>
          <w:rFonts w:ascii="Arial" w:hAnsi="Arial" w:cs="Arial"/>
          <w:sz w:val="32"/>
          <w:szCs w:val="32"/>
        </w:rPr>
        <w:t xml:space="preserve"> recovery for medically-fit patients is often best at home in a more comfortable and familiar setting.</w:t>
      </w:r>
    </w:p>
    <w:p w14:paraId="6946D5A6" w14:textId="1C21EC31" w:rsidR="00D653AF" w:rsidRPr="008A2F14" w:rsidRDefault="00D653AF" w:rsidP="008A2F14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8A2F14">
        <w:rPr>
          <w:rFonts w:ascii="Arial" w:hAnsi="Arial" w:cs="Arial"/>
          <w:sz w:val="32"/>
          <w:szCs w:val="32"/>
        </w:rPr>
        <w:t>Providing lifts home</w:t>
      </w:r>
      <w:r w:rsidR="00131766" w:rsidRPr="008A2F14">
        <w:rPr>
          <w:rFonts w:ascii="Arial" w:hAnsi="Arial" w:cs="Arial"/>
          <w:sz w:val="32"/>
          <w:szCs w:val="32"/>
        </w:rPr>
        <w:t xml:space="preserve"> from hospital </w:t>
      </w:r>
    </w:p>
    <w:p w14:paraId="7DE475FF" w14:textId="4321B45B" w:rsidR="00131766" w:rsidRDefault="00131766" w:rsidP="00D653AF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Collecting prescriptions</w:t>
      </w:r>
    </w:p>
    <w:p w14:paraId="7F10D954" w14:textId="32EFE5F4" w:rsidR="00131766" w:rsidRPr="00620244" w:rsidRDefault="00131766" w:rsidP="00D653AF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Ensuring the home is heated and they have staple food items</w:t>
      </w:r>
    </w:p>
    <w:p w14:paraId="5CB3744E" w14:textId="5AD4D9B4" w:rsidR="00620244" w:rsidRDefault="00620244" w:rsidP="00620244">
      <w:pPr>
        <w:rPr>
          <w:rFonts w:ascii="Arial" w:hAnsi="Arial" w:cs="Arial"/>
          <w:sz w:val="32"/>
          <w:szCs w:val="32"/>
        </w:rPr>
      </w:pPr>
    </w:p>
    <w:p w14:paraId="32B0ABAD" w14:textId="3EB6EB28" w:rsidR="00620244" w:rsidRDefault="00620244" w:rsidP="00620244">
      <w:pPr>
        <w:rPr>
          <w:rFonts w:ascii="Arial" w:hAnsi="Arial" w:cs="Arial"/>
          <w:sz w:val="32"/>
          <w:szCs w:val="32"/>
        </w:rPr>
      </w:pPr>
    </w:p>
    <w:p w14:paraId="0A68392C" w14:textId="5B660614" w:rsidR="00620244" w:rsidRDefault="00620244" w:rsidP="00620244">
      <w:pPr>
        <w:rPr>
          <w:rFonts w:ascii="Arial" w:hAnsi="Arial" w:cs="Arial"/>
          <w:sz w:val="32"/>
          <w:szCs w:val="32"/>
        </w:rPr>
      </w:pPr>
    </w:p>
    <w:p w14:paraId="0D8D26E9" w14:textId="7136FB75" w:rsidR="004A2BA8" w:rsidRPr="004A2BA8" w:rsidRDefault="000F2E17" w:rsidP="000F2E17">
      <w:pPr>
        <w:rPr>
          <w:color w:val="283A96"/>
          <w:sz w:val="56"/>
          <w:szCs w:val="56"/>
        </w:rPr>
      </w:pPr>
      <w:r>
        <w:rPr>
          <w:rFonts w:ascii="Arial" w:hAnsi="Arial" w:cs="Arial"/>
          <w:color w:val="283A96"/>
          <w:sz w:val="56"/>
          <w:szCs w:val="56"/>
          <w:lang w:val="en-US"/>
        </w:rPr>
        <w:t>TIMINGS</w:t>
      </w:r>
    </w:p>
    <w:p w14:paraId="4852AAB0" w14:textId="77777777" w:rsidR="004A2BA8" w:rsidRDefault="004A2BA8" w:rsidP="000F2E17">
      <w:pPr>
        <w:rPr>
          <w:rStyle w:val="cf01"/>
          <w:rFonts w:ascii="Arial" w:hAnsi="Arial" w:cs="Arial"/>
          <w:sz w:val="32"/>
          <w:szCs w:val="32"/>
        </w:rPr>
      </w:pPr>
    </w:p>
    <w:p w14:paraId="0839B19A" w14:textId="5D7BCBE7" w:rsidR="004A2BA8" w:rsidRPr="004A2BA8" w:rsidRDefault="00C16593" w:rsidP="000F2E17">
      <w:pPr>
        <w:rPr>
          <w:rFonts w:ascii="Arial" w:hAnsi="Arial" w:cs="Arial"/>
          <w:color w:val="283A96"/>
          <w:sz w:val="32"/>
          <w:szCs w:val="32"/>
          <w:lang w:val="en-US"/>
        </w:rPr>
      </w:pPr>
      <w:r>
        <w:rPr>
          <w:rStyle w:val="cf01"/>
          <w:rFonts w:ascii="Arial" w:hAnsi="Arial" w:cs="Arial"/>
          <w:sz w:val="32"/>
          <w:szCs w:val="32"/>
        </w:rPr>
        <w:t xml:space="preserve">This </w:t>
      </w:r>
      <w:r w:rsidR="005716DB">
        <w:rPr>
          <w:rStyle w:val="cf01"/>
          <w:rFonts w:ascii="Arial" w:hAnsi="Arial" w:cs="Arial"/>
          <w:sz w:val="32"/>
          <w:szCs w:val="32"/>
        </w:rPr>
        <w:t xml:space="preserve">will run from w/c 26 December </w:t>
      </w:r>
      <w:proofErr w:type="gramStart"/>
      <w:r w:rsidR="005716DB">
        <w:rPr>
          <w:rStyle w:val="cf01"/>
          <w:rFonts w:ascii="Arial" w:hAnsi="Arial" w:cs="Arial"/>
          <w:sz w:val="32"/>
          <w:szCs w:val="32"/>
        </w:rPr>
        <w:t>and also</w:t>
      </w:r>
      <w:proofErr w:type="gramEnd"/>
      <w:r w:rsidR="005716DB">
        <w:rPr>
          <w:rStyle w:val="cf01"/>
          <w:rFonts w:ascii="Arial" w:hAnsi="Arial" w:cs="Arial"/>
          <w:sz w:val="32"/>
          <w:szCs w:val="32"/>
        </w:rPr>
        <w:t xml:space="preserve"> w/c 2 January</w:t>
      </w:r>
    </w:p>
    <w:p w14:paraId="626E671A" w14:textId="77777777" w:rsidR="004A2BA8" w:rsidRDefault="004A2BA8" w:rsidP="000F2E17">
      <w:pPr>
        <w:rPr>
          <w:rFonts w:ascii="Arial" w:hAnsi="Arial" w:cs="Arial"/>
          <w:color w:val="283A96"/>
          <w:sz w:val="56"/>
          <w:szCs w:val="56"/>
          <w:lang w:val="en-US"/>
        </w:rPr>
      </w:pPr>
    </w:p>
    <w:p w14:paraId="6A1B9A97" w14:textId="15614F63" w:rsidR="00EB1D15" w:rsidRPr="00DD6025" w:rsidRDefault="00EB1D15" w:rsidP="003758BD">
      <w:pPr>
        <w:rPr>
          <w:rFonts w:ascii="Arial" w:hAnsi="Arial" w:cs="Arial"/>
          <w:color w:val="283A96"/>
          <w:sz w:val="56"/>
          <w:szCs w:val="56"/>
          <w:lang w:val="en-US"/>
        </w:rPr>
        <w:sectPr w:rsidR="00EB1D15" w:rsidRPr="00DD6025" w:rsidSect="006D6616">
          <w:headerReference w:type="default" r:id="rId11"/>
          <w:footerReference w:type="default" r:id="rId12"/>
          <w:pgSz w:w="11906" w:h="16838"/>
          <w:pgMar w:top="567" w:right="567" w:bottom="454" w:left="567" w:header="340" w:footer="283" w:gutter="0"/>
          <w:cols w:space="708"/>
          <w:docGrid w:linePitch="360"/>
        </w:sectPr>
      </w:pPr>
    </w:p>
    <w:p w14:paraId="71A893C2" w14:textId="22BFD93A" w:rsidR="00BE45C8" w:rsidRDefault="00BE45C8" w:rsidP="003758BD">
      <w:pPr>
        <w:rPr>
          <w:rFonts w:ascii="Arial" w:hAnsi="Arial" w:cs="Arial"/>
          <w:color w:val="283A96"/>
          <w:sz w:val="44"/>
          <w:szCs w:val="44"/>
        </w:rPr>
      </w:pPr>
      <w:r w:rsidRPr="00743ED9">
        <w:rPr>
          <w:rFonts w:ascii="Arial" w:hAnsi="Arial" w:cs="Arial"/>
          <w:color w:val="283A96"/>
          <w:sz w:val="48"/>
          <w:szCs w:val="48"/>
        </w:rPr>
        <w:lastRenderedPageBreak/>
        <w:t>ASSETS</w:t>
      </w:r>
      <w:r w:rsidR="00724A5C" w:rsidRPr="00743ED9">
        <w:rPr>
          <w:rFonts w:ascii="Arial" w:hAnsi="Arial" w:cs="Arial"/>
          <w:color w:val="283A96"/>
          <w:sz w:val="48"/>
          <w:szCs w:val="48"/>
        </w:rPr>
        <w:t xml:space="preserve"> </w:t>
      </w:r>
      <w:r w:rsidR="00724A5C">
        <w:rPr>
          <w:rFonts w:ascii="Arial" w:hAnsi="Arial" w:cs="Arial"/>
          <w:color w:val="283A96"/>
          <w:sz w:val="44"/>
          <w:szCs w:val="44"/>
        </w:rPr>
        <w:t xml:space="preserve">- </w:t>
      </w:r>
      <w:r w:rsidR="006A4BBC" w:rsidRPr="006A4BBC">
        <w:rPr>
          <w:rFonts w:ascii="Arial" w:hAnsi="Arial" w:cs="Arial"/>
          <w:color w:val="283A96"/>
          <w:sz w:val="44"/>
          <w:szCs w:val="44"/>
        </w:rPr>
        <w:t>All Audiences</w:t>
      </w:r>
    </w:p>
    <w:p w14:paraId="7AE6508B" w14:textId="5047F316" w:rsidR="00F7244B" w:rsidRDefault="00F7244B" w:rsidP="63BE9A26">
      <w:pPr>
        <w:rPr>
          <w:rFonts w:ascii="Arial" w:hAnsi="Arial" w:cs="Arial"/>
          <w:color w:val="283A96"/>
          <w:sz w:val="44"/>
          <w:szCs w:val="44"/>
        </w:rPr>
      </w:pPr>
    </w:p>
    <w:p w14:paraId="6B921BD1" w14:textId="5A810EDB" w:rsidR="00131766" w:rsidRDefault="4EA34441" w:rsidP="63BE9A26">
      <w:pPr>
        <w:pStyle w:val="Default"/>
        <w:spacing w:line="259" w:lineRule="auto"/>
        <w:rPr>
          <w:sz w:val="32"/>
          <w:szCs w:val="32"/>
        </w:rPr>
      </w:pPr>
      <w:r w:rsidRPr="005F0FCF">
        <w:rPr>
          <w:sz w:val="32"/>
          <w:szCs w:val="32"/>
        </w:rPr>
        <w:t xml:space="preserve">Assets available </w:t>
      </w:r>
      <w:r w:rsidR="6AE44FCB" w:rsidRPr="005F0FCF">
        <w:rPr>
          <w:sz w:val="32"/>
          <w:szCs w:val="32"/>
        </w:rPr>
        <w:t>to</w:t>
      </w:r>
      <w:r w:rsidR="00DD6025">
        <w:rPr>
          <w:sz w:val="32"/>
          <w:szCs w:val="32"/>
        </w:rPr>
        <w:t xml:space="preserve"> download from the BSW Together Campaigns Page at</w:t>
      </w:r>
    </w:p>
    <w:p w14:paraId="219E870C" w14:textId="68998454" w:rsidR="00293B39" w:rsidRPr="00DD6025" w:rsidRDefault="00131766" w:rsidP="00DD6025">
      <w:pPr>
        <w:pStyle w:val="Default"/>
        <w:spacing w:line="259" w:lineRule="auto"/>
        <w:rPr>
          <w:sz w:val="32"/>
          <w:szCs w:val="32"/>
        </w:rPr>
      </w:pPr>
      <w:r w:rsidRPr="00AE5301">
        <w:rPr>
          <w:b/>
          <w:bCs/>
          <w:color w:val="CA0CAF"/>
          <w:sz w:val="32"/>
          <w:szCs w:val="32"/>
        </w:rPr>
        <w:t>www.bswtogether.org.uk/yourhealth/campaigns</w:t>
      </w:r>
    </w:p>
    <w:p w14:paraId="20CB581B" w14:textId="5A3491D9" w:rsidR="00293B39" w:rsidRPr="00AC1E94" w:rsidRDefault="00293B39" w:rsidP="00C818F8">
      <w:pPr>
        <w:tabs>
          <w:tab w:val="left" w:pos="1741"/>
        </w:tabs>
        <w:rPr>
          <w:rFonts w:ascii="Arial" w:hAnsi="Arial" w:cs="Arial"/>
          <w:sz w:val="28"/>
          <w:szCs w:val="28"/>
        </w:rPr>
      </w:pPr>
    </w:p>
    <w:p w14:paraId="48A2E13F" w14:textId="29D7AF23" w:rsidR="009D1376" w:rsidRDefault="007663AC" w:rsidP="00293B39">
      <w:pPr>
        <w:pStyle w:val="Default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E5B5C69" wp14:editId="37B6B41F">
            <wp:simplePos x="0" y="0"/>
            <wp:positionH relativeFrom="column">
              <wp:posOffset>7446010</wp:posOffset>
            </wp:positionH>
            <wp:positionV relativeFrom="paragraph">
              <wp:posOffset>36830</wp:posOffset>
            </wp:positionV>
            <wp:extent cx="2181225" cy="2172970"/>
            <wp:effectExtent l="0" t="0" r="9525" b="0"/>
            <wp:wrapTight wrapText="bothSides">
              <wp:wrapPolygon edited="0">
                <wp:start x="0" y="0"/>
                <wp:lineTo x="0" y="21398"/>
                <wp:lineTo x="21506" y="21398"/>
                <wp:lineTo x="21506" y="0"/>
                <wp:lineTo x="0" y="0"/>
              </wp:wrapPolygon>
            </wp:wrapTight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90C08F4" wp14:editId="60425417">
            <wp:simplePos x="0" y="0"/>
            <wp:positionH relativeFrom="margin">
              <wp:posOffset>3963670</wp:posOffset>
            </wp:positionH>
            <wp:positionV relativeFrom="paragraph">
              <wp:posOffset>74930</wp:posOffset>
            </wp:positionV>
            <wp:extent cx="2200275" cy="2205355"/>
            <wp:effectExtent l="0" t="0" r="9525" b="4445"/>
            <wp:wrapTight wrapText="bothSides">
              <wp:wrapPolygon edited="0">
                <wp:start x="0" y="0"/>
                <wp:lineTo x="0" y="21457"/>
                <wp:lineTo x="21506" y="21457"/>
                <wp:lineTo x="21506" y="0"/>
                <wp:lineTo x="0" y="0"/>
              </wp:wrapPolygon>
            </wp:wrapTight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06EE3AB" wp14:editId="123ACB09">
            <wp:simplePos x="0" y="0"/>
            <wp:positionH relativeFrom="margin">
              <wp:posOffset>552450</wp:posOffset>
            </wp:positionH>
            <wp:positionV relativeFrom="paragraph">
              <wp:posOffset>93980</wp:posOffset>
            </wp:positionV>
            <wp:extent cx="215455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390" y="21411"/>
                <wp:lineTo x="21390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  <w:p w14:paraId="182990EC" w14:textId="2235832B" w:rsidR="0044299B" w:rsidRDefault="007663AC" w:rsidP="00293B39">
      <w:pPr>
        <w:pStyle w:val="Default"/>
        <w:rPr>
          <w:sz w:val="28"/>
          <w:szCs w:val="28"/>
        </w:rPr>
      </w:pPr>
      <w:r>
        <w:rPr>
          <w:shd w:val="clear" w:color="auto" w:fill="FFFFFF"/>
        </w:rPr>
        <w:br/>
      </w:r>
    </w:p>
    <w:p w14:paraId="37F1900C" w14:textId="597E408A" w:rsidR="0044299B" w:rsidRDefault="0044299B" w:rsidP="00293B39">
      <w:pPr>
        <w:pStyle w:val="Default"/>
        <w:rPr>
          <w:sz w:val="28"/>
          <w:szCs w:val="28"/>
        </w:rPr>
      </w:pPr>
    </w:p>
    <w:p w14:paraId="79EC7257" w14:textId="03D62B23" w:rsidR="00D13C68" w:rsidRPr="00D13C68" w:rsidRDefault="007663AC" w:rsidP="00246F82">
      <w:pPr>
        <w:tabs>
          <w:tab w:val="left" w:pos="1741"/>
        </w:tabs>
        <w:rPr>
          <w:rFonts w:ascii="Arial" w:hAnsi="Arial" w:cs="Arial"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F020CB7" wp14:editId="6A0055B3">
            <wp:simplePos x="0" y="0"/>
            <wp:positionH relativeFrom="margin">
              <wp:posOffset>7479030</wp:posOffset>
            </wp:positionH>
            <wp:positionV relativeFrom="paragraph">
              <wp:posOffset>2014855</wp:posOffset>
            </wp:positionV>
            <wp:extent cx="2066925" cy="2045335"/>
            <wp:effectExtent l="0" t="0" r="9525" b="0"/>
            <wp:wrapTight wrapText="bothSides">
              <wp:wrapPolygon edited="0">
                <wp:start x="0" y="0"/>
                <wp:lineTo x="0" y="21325"/>
                <wp:lineTo x="21500" y="21325"/>
                <wp:lineTo x="21500" y="0"/>
                <wp:lineTo x="0" y="0"/>
              </wp:wrapPolygon>
            </wp:wrapTight>
            <wp:docPr id="7" name="Picture 7" descr="A picture containing text, person, indoor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person, indoor,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8E76B92" wp14:editId="0C5989E9">
            <wp:simplePos x="0" y="0"/>
            <wp:positionH relativeFrom="margin">
              <wp:posOffset>3983355</wp:posOffset>
            </wp:positionH>
            <wp:positionV relativeFrom="paragraph">
              <wp:posOffset>2063750</wp:posOffset>
            </wp:positionV>
            <wp:extent cx="2360930" cy="1962150"/>
            <wp:effectExtent l="0" t="0" r="1270" b="0"/>
            <wp:wrapTight wrapText="bothSides">
              <wp:wrapPolygon edited="0">
                <wp:start x="0" y="0"/>
                <wp:lineTo x="0" y="21390"/>
                <wp:lineTo x="21437" y="21390"/>
                <wp:lineTo x="21437" y="0"/>
                <wp:lineTo x="0" y="0"/>
              </wp:wrapPolygon>
            </wp:wrapTight>
            <wp:docPr id="5" name="Picture 5" descr="A person with the hand on the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with the hand on the 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C377544" wp14:editId="324D34C9">
            <wp:simplePos x="0" y="0"/>
            <wp:positionH relativeFrom="margin">
              <wp:posOffset>565150</wp:posOffset>
            </wp:positionH>
            <wp:positionV relativeFrom="paragraph">
              <wp:posOffset>1978025</wp:posOffset>
            </wp:positionV>
            <wp:extent cx="2162175" cy="2082740"/>
            <wp:effectExtent l="0" t="0" r="0" b="0"/>
            <wp:wrapTight wrapText="bothSides">
              <wp:wrapPolygon edited="0">
                <wp:start x="0" y="0"/>
                <wp:lineTo x="0" y="21343"/>
                <wp:lineTo x="21315" y="21343"/>
                <wp:lineTo x="21315" y="0"/>
                <wp:lineTo x="0" y="0"/>
              </wp:wrapPolygon>
            </wp:wrapTight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</w:p>
    <w:sectPr w:rsidR="00D13C68" w:rsidRPr="00D13C68" w:rsidSect="000646AB">
      <w:pgSz w:w="16838" w:h="11906" w:orient="landscape"/>
      <w:pgMar w:top="567" w:right="454" w:bottom="567" w:left="56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DA88" w14:textId="77777777" w:rsidR="00CE63B4" w:rsidRDefault="00CE63B4" w:rsidP="00355778">
      <w:r>
        <w:separator/>
      </w:r>
    </w:p>
  </w:endnote>
  <w:endnote w:type="continuationSeparator" w:id="0">
    <w:p w14:paraId="2C3DC6DE" w14:textId="77777777" w:rsidR="00CE63B4" w:rsidRDefault="00CE63B4" w:rsidP="0035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2848" w14:textId="30180CC1" w:rsidR="00355778" w:rsidRPr="008F2A1F" w:rsidRDefault="00325FE3" w:rsidP="00167924">
    <w:pPr>
      <w:pStyle w:val="BasicParagraph"/>
      <w:spacing w:after="106"/>
      <w:ind w:right="360"/>
      <w:rPr>
        <w:rFonts w:ascii="Arial" w:hAnsi="Arial" w:cs="Arial"/>
        <w:color w:val="343433"/>
        <w:sz w:val="17"/>
        <w:szCs w:val="17"/>
        <w:lang w:val="en-US"/>
      </w:rPr>
    </w:pPr>
    <w:r w:rsidRPr="008F2A1F">
      <w:rPr>
        <w:rFonts w:ascii="Arial" w:hAnsi="Arial" w:cs="Arial"/>
        <w:color w:val="808080" w:themeColor="background1" w:themeShade="80"/>
        <w:sz w:val="17"/>
        <w:szCs w:val="17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E4FA" w14:textId="77777777" w:rsidR="00CE63B4" w:rsidRDefault="00CE63B4" w:rsidP="00355778">
      <w:r>
        <w:separator/>
      </w:r>
    </w:p>
  </w:footnote>
  <w:footnote w:type="continuationSeparator" w:id="0">
    <w:p w14:paraId="67E0A4E4" w14:textId="77777777" w:rsidR="00CE63B4" w:rsidRDefault="00CE63B4" w:rsidP="0035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69CE" w14:textId="0BDC9CE7" w:rsidR="00F61FAB" w:rsidRDefault="00EB3CA2">
    <w:pPr>
      <w:pStyle w:val="Header"/>
    </w:pPr>
    <w:r>
      <w:rPr>
        <w:noProof/>
      </w:rPr>
      <w:drawing>
        <wp:inline distT="0" distB="0" distL="0" distR="0" wp14:anchorId="297BF41B" wp14:editId="13506D67">
          <wp:extent cx="2964815" cy="704850"/>
          <wp:effectExtent l="0" t="0" r="6985" b="0"/>
          <wp:docPr id="9" name="Picture 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481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C7ED8A" w14:textId="77777777" w:rsidR="00F61FAB" w:rsidRDefault="00F6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6CD"/>
    <w:multiLevelType w:val="hybridMultilevel"/>
    <w:tmpl w:val="F49A3EBE"/>
    <w:lvl w:ilvl="0" w:tplc="7BBC7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2C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C5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C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9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6A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0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24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E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33FAC"/>
    <w:multiLevelType w:val="hybridMultilevel"/>
    <w:tmpl w:val="F90C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453"/>
    <w:multiLevelType w:val="hybridMultilevel"/>
    <w:tmpl w:val="C37C1D6A"/>
    <w:lvl w:ilvl="0" w:tplc="DC5A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4E8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8C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E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EF3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C6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49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A4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C5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00253"/>
    <w:multiLevelType w:val="hybridMultilevel"/>
    <w:tmpl w:val="09E84738"/>
    <w:lvl w:ilvl="0" w:tplc="1C9043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9293C"/>
    <w:multiLevelType w:val="hybridMultilevel"/>
    <w:tmpl w:val="BEE87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D6F91"/>
    <w:multiLevelType w:val="hybridMultilevel"/>
    <w:tmpl w:val="9D682BFE"/>
    <w:lvl w:ilvl="0" w:tplc="04347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CB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A1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64F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82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0C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26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9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CD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A2058"/>
    <w:multiLevelType w:val="hybridMultilevel"/>
    <w:tmpl w:val="35B6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107F"/>
    <w:multiLevelType w:val="hybridMultilevel"/>
    <w:tmpl w:val="333284EE"/>
    <w:lvl w:ilvl="0" w:tplc="0408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EC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CE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C8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A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AF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A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3C25C1"/>
    <w:multiLevelType w:val="hybridMultilevel"/>
    <w:tmpl w:val="3DBC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4304"/>
    <w:multiLevelType w:val="hybridMultilevel"/>
    <w:tmpl w:val="5CD014FE"/>
    <w:lvl w:ilvl="0" w:tplc="D654D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0E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AE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27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80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4E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49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4B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67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9302556"/>
    <w:multiLevelType w:val="hybridMultilevel"/>
    <w:tmpl w:val="46049DB6"/>
    <w:lvl w:ilvl="0" w:tplc="ADA410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16374"/>
    <w:multiLevelType w:val="hybridMultilevel"/>
    <w:tmpl w:val="3286CBB0"/>
    <w:lvl w:ilvl="0" w:tplc="AB6242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203040"/>
    <w:multiLevelType w:val="hybridMultilevel"/>
    <w:tmpl w:val="72F0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35695"/>
    <w:multiLevelType w:val="hybridMultilevel"/>
    <w:tmpl w:val="CBEE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01381"/>
    <w:multiLevelType w:val="hybridMultilevel"/>
    <w:tmpl w:val="BC964882"/>
    <w:lvl w:ilvl="0" w:tplc="FFAC2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6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A9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C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44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AA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48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B91CD3"/>
    <w:multiLevelType w:val="hybridMultilevel"/>
    <w:tmpl w:val="10DAE5EA"/>
    <w:lvl w:ilvl="0" w:tplc="3432E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69415">
    <w:abstractNumId w:val="5"/>
  </w:num>
  <w:num w:numId="2" w16cid:durableId="1549100704">
    <w:abstractNumId w:val="9"/>
  </w:num>
  <w:num w:numId="3" w16cid:durableId="2020543922">
    <w:abstractNumId w:val="7"/>
  </w:num>
  <w:num w:numId="4" w16cid:durableId="124741300">
    <w:abstractNumId w:val="11"/>
  </w:num>
  <w:num w:numId="5" w16cid:durableId="1760446137">
    <w:abstractNumId w:val="0"/>
  </w:num>
  <w:num w:numId="6" w16cid:durableId="595939342">
    <w:abstractNumId w:val="14"/>
  </w:num>
  <w:num w:numId="7" w16cid:durableId="1969124476">
    <w:abstractNumId w:val="2"/>
  </w:num>
  <w:num w:numId="8" w16cid:durableId="54361216">
    <w:abstractNumId w:val="15"/>
  </w:num>
  <w:num w:numId="9" w16cid:durableId="1151868597">
    <w:abstractNumId w:val="10"/>
  </w:num>
  <w:num w:numId="10" w16cid:durableId="715354015">
    <w:abstractNumId w:val="8"/>
  </w:num>
  <w:num w:numId="11" w16cid:durableId="2033651125">
    <w:abstractNumId w:val="6"/>
  </w:num>
  <w:num w:numId="12" w16cid:durableId="1669290148">
    <w:abstractNumId w:val="13"/>
  </w:num>
  <w:num w:numId="13" w16cid:durableId="146749064">
    <w:abstractNumId w:val="12"/>
  </w:num>
  <w:num w:numId="14" w16cid:durableId="1166552610">
    <w:abstractNumId w:val="4"/>
  </w:num>
  <w:num w:numId="15" w16cid:durableId="1981616418">
    <w:abstractNumId w:val="3"/>
  </w:num>
  <w:num w:numId="16" w16cid:durableId="115271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A9"/>
    <w:rsid w:val="00003404"/>
    <w:rsid w:val="000140E8"/>
    <w:rsid w:val="00026368"/>
    <w:rsid w:val="00040095"/>
    <w:rsid w:val="000536E5"/>
    <w:rsid w:val="00062757"/>
    <w:rsid w:val="000646AB"/>
    <w:rsid w:val="0009622E"/>
    <w:rsid w:val="000D0436"/>
    <w:rsid w:val="000D45A2"/>
    <w:rsid w:val="000F2E17"/>
    <w:rsid w:val="000F3ADF"/>
    <w:rsid w:val="00123533"/>
    <w:rsid w:val="00131766"/>
    <w:rsid w:val="00167924"/>
    <w:rsid w:val="001C25A8"/>
    <w:rsid w:val="001D0BAD"/>
    <w:rsid w:val="001D34FB"/>
    <w:rsid w:val="00246F82"/>
    <w:rsid w:val="0025287C"/>
    <w:rsid w:val="00263525"/>
    <w:rsid w:val="00265688"/>
    <w:rsid w:val="00281148"/>
    <w:rsid w:val="00293B39"/>
    <w:rsid w:val="002D1778"/>
    <w:rsid w:val="00325FE3"/>
    <w:rsid w:val="003376EA"/>
    <w:rsid w:val="00355778"/>
    <w:rsid w:val="0037218E"/>
    <w:rsid w:val="003758BD"/>
    <w:rsid w:val="00383E4B"/>
    <w:rsid w:val="003A2489"/>
    <w:rsid w:val="003A33DF"/>
    <w:rsid w:val="003B2DA9"/>
    <w:rsid w:val="003D7D54"/>
    <w:rsid w:val="0044299B"/>
    <w:rsid w:val="004836A4"/>
    <w:rsid w:val="004A2BA8"/>
    <w:rsid w:val="004D12D6"/>
    <w:rsid w:val="004E70A9"/>
    <w:rsid w:val="00501DC4"/>
    <w:rsid w:val="00522C31"/>
    <w:rsid w:val="00527DFF"/>
    <w:rsid w:val="0054263E"/>
    <w:rsid w:val="00542DC3"/>
    <w:rsid w:val="0055677D"/>
    <w:rsid w:val="005716DB"/>
    <w:rsid w:val="005C3593"/>
    <w:rsid w:val="005D7ADF"/>
    <w:rsid w:val="005E14BB"/>
    <w:rsid w:val="005F0FCF"/>
    <w:rsid w:val="00620244"/>
    <w:rsid w:val="006457F8"/>
    <w:rsid w:val="0067613E"/>
    <w:rsid w:val="006A2535"/>
    <w:rsid w:val="006A4BBC"/>
    <w:rsid w:val="006B405D"/>
    <w:rsid w:val="006D6616"/>
    <w:rsid w:val="0070502E"/>
    <w:rsid w:val="0071004A"/>
    <w:rsid w:val="007146BF"/>
    <w:rsid w:val="0072349E"/>
    <w:rsid w:val="00724A5C"/>
    <w:rsid w:val="00743ED9"/>
    <w:rsid w:val="0075152F"/>
    <w:rsid w:val="00751BF2"/>
    <w:rsid w:val="00765EBB"/>
    <w:rsid w:val="007663AC"/>
    <w:rsid w:val="00774082"/>
    <w:rsid w:val="00783B7E"/>
    <w:rsid w:val="0079554A"/>
    <w:rsid w:val="007D316F"/>
    <w:rsid w:val="008145F6"/>
    <w:rsid w:val="00867ADC"/>
    <w:rsid w:val="00871CE8"/>
    <w:rsid w:val="008923CA"/>
    <w:rsid w:val="00895EDC"/>
    <w:rsid w:val="008A2F14"/>
    <w:rsid w:val="008B4820"/>
    <w:rsid w:val="008B5097"/>
    <w:rsid w:val="008E076B"/>
    <w:rsid w:val="008E566A"/>
    <w:rsid w:val="008F2A1F"/>
    <w:rsid w:val="00900B4D"/>
    <w:rsid w:val="00910414"/>
    <w:rsid w:val="009303F8"/>
    <w:rsid w:val="00944F46"/>
    <w:rsid w:val="009718EA"/>
    <w:rsid w:val="00995B42"/>
    <w:rsid w:val="009A1459"/>
    <w:rsid w:val="009B23A2"/>
    <w:rsid w:val="009D1376"/>
    <w:rsid w:val="009D1F2F"/>
    <w:rsid w:val="009E6640"/>
    <w:rsid w:val="009E6711"/>
    <w:rsid w:val="00A1438F"/>
    <w:rsid w:val="00A2054E"/>
    <w:rsid w:val="00A6221A"/>
    <w:rsid w:val="00A67845"/>
    <w:rsid w:val="00A76F2A"/>
    <w:rsid w:val="00A908D6"/>
    <w:rsid w:val="00AA1075"/>
    <w:rsid w:val="00AB0DE6"/>
    <w:rsid w:val="00AC1E94"/>
    <w:rsid w:val="00AC365F"/>
    <w:rsid w:val="00AC5201"/>
    <w:rsid w:val="00AF6B7D"/>
    <w:rsid w:val="00B05C86"/>
    <w:rsid w:val="00B716C9"/>
    <w:rsid w:val="00BA21D8"/>
    <w:rsid w:val="00BE45C8"/>
    <w:rsid w:val="00BF37B7"/>
    <w:rsid w:val="00BF425E"/>
    <w:rsid w:val="00C16593"/>
    <w:rsid w:val="00C25CB1"/>
    <w:rsid w:val="00C818F8"/>
    <w:rsid w:val="00C84838"/>
    <w:rsid w:val="00CC1EB1"/>
    <w:rsid w:val="00CE63B4"/>
    <w:rsid w:val="00D13C68"/>
    <w:rsid w:val="00D158D4"/>
    <w:rsid w:val="00D17F61"/>
    <w:rsid w:val="00D368BC"/>
    <w:rsid w:val="00D44C87"/>
    <w:rsid w:val="00D46784"/>
    <w:rsid w:val="00D653AF"/>
    <w:rsid w:val="00D67882"/>
    <w:rsid w:val="00DD6025"/>
    <w:rsid w:val="00E20054"/>
    <w:rsid w:val="00E8143D"/>
    <w:rsid w:val="00E90008"/>
    <w:rsid w:val="00E906EC"/>
    <w:rsid w:val="00EA67C7"/>
    <w:rsid w:val="00EB1D15"/>
    <w:rsid w:val="00EB3CA2"/>
    <w:rsid w:val="00EC3336"/>
    <w:rsid w:val="00F07AB7"/>
    <w:rsid w:val="00F24251"/>
    <w:rsid w:val="00F26F77"/>
    <w:rsid w:val="00F61FAB"/>
    <w:rsid w:val="00F7244B"/>
    <w:rsid w:val="00F744FA"/>
    <w:rsid w:val="00F94BFD"/>
    <w:rsid w:val="00FB1135"/>
    <w:rsid w:val="00FD23F3"/>
    <w:rsid w:val="00FE30D2"/>
    <w:rsid w:val="0F3950CE"/>
    <w:rsid w:val="2091EC05"/>
    <w:rsid w:val="2A055BC4"/>
    <w:rsid w:val="2D4C5A35"/>
    <w:rsid w:val="3A0F2DA9"/>
    <w:rsid w:val="3DBC145C"/>
    <w:rsid w:val="42D5A750"/>
    <w:rsid w:val="45C431E4"/>
    <w:rsid w:val="4EA34441"/>
    <w:rsid w:val="4F75F60D"/>
    <w:rsid w:val="5CDE6FD6"/>
    <w:rsid w:val="63BE9A26"/>
    <w:rsid w:val="6AE44FCB"/>
    <w:rsid w:val="7D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1DB50B7"/>
  <w15:chartTrackingRefBased/>
  <w15:docId w15:val="{F718489A-EA0D-9448-852B-EAC3AFE8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778"/>
  </w:style>
  <w:style w:type="paragraph" w:styleId="Footer">
    <w:name w:val="footer"/>
    <w:basedOn w:val="Normal"/>
    <w:link w:val="FooterChar"/>
    <w:uiPriority w:val="99"/>
    <w:unhideWhenUsed/>
    <w:rsid w:val="00355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778"/>
  </w:style>
  <w:style w:type="paragraph" w:customStyle="1" w:styleId="BasicParagraph">
    <w:name w:val="[Basic Paragraph]"/>
    <w:basedOn w:val="Normal"/>
    <w:uiPriority w:val="99"/>
    <w:rsid w:val="0035577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32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A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221A"/>
    <w:rPr>
      <w:sz w:val="22"/>
      <w:szCs w:val="22"/>
    </w:rPr>
  </w:style>
  <w:style w:type="table" w:styleId="TableGrid">
    <w:name w:val="Table Grid"/>
    <w:basedOn w:val="TableNormal"/>
    <w:uiPriority w:val="39"/>
    <w:rsid w:val="0079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54A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22C3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22C3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2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7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0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0A9"/>
  </w:style>
  <w:style w:type="paragraph" w:customStyle="1" w:styleId="Default">
    <w:name w:val="Default"/>
    <w:rsid w:val="00900B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rmaltextrun">
    <w:name w:val="normaltextrun"/>
    <w:basedOn w:val="DefaultParagraphFont"/>
    <w:rsid w:val="00900B4D"/>
  </w:style>
  <w:style w:type="character" w:customStyle="1" w:styleId="eop">
    <w:name w:val="eop"/>
    <w:basedOn w:val="DefaultParagraphFont"/>
    <w:rsid w:val="00900B4D"/>
  </w:style>
  <w:style w:type="character" w:styleId="FollowedHyperlink">
    <w:name w:val="FollowedHyperlink"/>
    <w:basedOn w:val="DefaultParagraphFont"/>
    <w:uiPriority w:val="99"/>
    <w:semiHidden/>
    <w:unhideWhenUsed/>
    <w:rsid w:val="00D13C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1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4A2B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229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62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89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00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37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3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197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28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67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58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27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9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E292D6B3C1346A6CF11E0CC6EFEBF" ma:contentTypeVersion="14" ma:contentTypeDescription="Create a new document." ma:contentTypeScope="" ma:versionID="b19f03ce4fc9129d639ebff0048f4808">
  <xsd:schema xmlns:xsd="http://www.w3.org/2001/XMLSchema" xmlns:xs="http://www.w3.org/2001/XMLSchema" xmlns:p="http://schemas.microsoft.com/office/2006/metadata/properties" xmlns:ns2="a61bec07-ffe9-4cc8-8d4e-342953dddc8a" xmlns:ns3="22bce409-27d2-4d95-a9a6-54e3e0e731e3" targetNamespace="http://schemas.microsoft.com/office/2006/metadata/properties" ma:root="true" ma:fieldsID="987500003f8e19759bb2475eca0c0099" ns2:_="" ns3:_="">
    <xsd:import namespace="a61bec07-ffe9-4cc8-8d4e-342953dddc8a"/>
    <xsd:import namespace="22bce409-27d2-4d95-a9a6-54e3e0e73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bec07-ffe9-4cc8-8d4e-342953ddd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e409-27d2-4d95-a9a6-54e3e0e731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e6c60a-fee5-4410-9ab1-7e2ac2c6a35a}" ma:internalName="TaxCatchAll" ma:showField="CatchAllData" ma:web="22bce409-27d2-4d95-a9a6-54e3e0e73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ce409-27d2-4d95-a9a6-54e3e0e731e3" xsi:nil="true"/>
    <lcf76f155ced4ddcb4097134ff3c332f xmlns="a61bec07-ffe9-4cc8-8d4e-342953dddc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8DEAC-797B-4AF0-839A-C2BF0C709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bec07-ffe9-4cc8-8d4e-342953dddc8a"/>
    <ds:schemaRef ds:uri="22bce409-27d2-4d95-a9a6-54e3e0e73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DFB86-67CF-4BA5-B9B6-0D1D0D02B99F}">
  <ds:schemaRefs>
    <ds:schemaRef ds:uri="http://schemas.microsoft.com/office/2006/metadata/properties"/>
    <ds:schemaRef ds:uri="http://schemas.microsoft.com/office/infopath/2007/PartnerControls"/>
    <ds:schemaRef ds:uri="22bce409-27d2-4d95-a9a6-54e3e0e731e3"/>
    <ds:schemaRef ds:uri="a61bec07-ffe9-4cc8-8d4e-342953dddc8a"/>
  </ds:schemaRefs>
</ds:datastoreItem>
</file>

<file path=customXml/itemProps3.xml><?xml version="1.0" encoding="utf-8"?>
<ds:datastoreItem xmlns:ds="http://schemas.openxmlformats.org/officeDocument/2006/customXml" ds:itemID="{35D9A4C1-D5B8-4B5D-B0DE-F7B151C8F0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A0CD6-A048-41C4-B31A-AA638E0896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Solomon</dc:creator>
  <cp:keywords/>
  <dc:description/>
  <cp:lastModifiedBy>PENDER, Emma (NHS BATH AND NORTH EAST SOMERSET, SWINDON AND WILTSHIRE ICB - 92G)</cp:lastModifiedBy>
  <cp:revision>5</cp:revision>
  <cp:lastPrinted>2022-10-17T14:57:00Z</cp:lastPrinted>
  <dcterms:created xsi:type="dcterms:W3CDTF">2022-12-21T13:10:00Z</dcterms:created>
  <dcterms:modified xsi:type="dcterms:W3CDTF">2022-12-21T16:48:00Z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0x010100B90E292D6B3C1346A6CF11E0CC6EFEBF</vt:lpwstr>
  </property>
  <property fmtid="{D5CDD505-2E9C-101B-9397-08002B2CF9AE}" pid="3" name="MediaServiceImageTags">
    <vt:lpwstr/>
  </property>
</Properties>
</file>